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1C0FF" w14:textId="77777777" w:rsidR="00060F41" w:rsidRDefault="00655B3B">
      <w:pPr>
        <w:spacing w:after="240"/>
        <w:jc w:val="center"/>
      </w:pPr>
      <w:r>
        <w:rPr>
          <w:b/>
          <w:bCs/>
          <w:sz w:val="28"/>
          <w:szCs w:val="28"/>
        </w:rPr>
        <w:t>Supplementary Material</w:t>
      </w:r>
    </w:p>
    <w:p w14:paraId="6F25BB58" w14:textId="77777777" w:rsidR="00060F41" w:rsidRDefault="00655B3B">
      <w:pPr>
        <w:spacing w:after="360"/>
        <w:jc w:val="center"/>
      </w:pPr>
      <w:r>
        <w:rPr>
          <w:i/>
          <w:iCs/>
          <w:sz w:val="22"/>
          <w:szCs w:val="22"/>
        </w:rPr>
        <w:t xml:space="preserve">Association of MOCA Cognitive Domains and Serum Biomarkers </w:t>
      </w:r>
      <w:proofErr w:type="gramStart"/>
      <w:r>
        <w:rPr>
          <w:i/>
          <w:iCs/>
          <w:sz w:val="22"/>
          <w:szCs w:val="22"/>
        </w:rPr>
        <w:t>With</w:t>
      </w:r>
      <w:proofErr w:type="gramEnd"/>
      <w:r>
        <w:rPr>
          <w:i/>
          <w:iCs/>
          <w:sz w:val="22"/>
          <w:szCs w:val="22"/>
        </w:rPr>
        <w:t xml:space="preserve"> Anxiety Disorders in Elderly Men With Cognitive Impairment: A Cross-Sectional Analysis</w:t>
      </w:r>
    </w:p>
    <w:p w14:paraId="15910E77" w14:textId="44187F40" w:rsidR="00060F41" w:rsidRDefault="00655B3B">
      <w:pPr>
        <w:spacing w:before="240" w:after="120"/>
      </w:pPr>
      <w:r>
        <w:rPr>
          <w:b/>
          <w:bCs/>
          <w:sz w:val="22"/>
          <w:szCs w:val="22"/>
        </w:rPr>
        <w:t xml:space="preserve">Supplementary Table </w:t>
      </w: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Intercorrelation matrix of serum biomarkers (Spearman’s </w:t>
      </w:r>
      <w:r>
        <w:rPr>
          <w:sz w:val="22"/>
          <w:szCs w:val="22"/>
        </w:rPr>
        <w:t>correlation coefficients, upper triangle; n = 86).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37"/>
        <w:gridCol w:w="1137"/>
        <w:gridCol w:w="1137"/>
        <w:gridCol w:w="1137"/>
        <w:gridCol w:w="1137"/>
        <w:gridCol w:w="1137"/>
        <w:gridCol w:w="1137"/>
      </w:tblGrid>
      <w:tr w:rsidR="00060F41" w14:paraId="6D11F2C3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E4A97E" w14:textId="77777777" w:rsidR="00060F41" w:rsidRDefault="00060F41">
            <w:pPr>
              <w:jc w:val="center"/>
            </w:pP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4744CD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Tau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275A65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Aβ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C39A26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MDA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FD8C42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TNF-α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FA7B8C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IL-6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626CD9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VILIP-1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F68324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MiR-34c</w:t>
            </w:r>
          </w:p>
        </w:tc>
      </w:tr>
      <w:tr w:rsidR="00060F41" w14:paraId="33CE8061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9B1840" w14:textId="77777777" w:rsidR="00060F41" w:rsidRDefault="00655B3B">
            <w:r>
              <w:rPr>
                <w:b/>
                <w:bCs/>
                <w:sz w:val="20"/>
                <w:szCs w:val="20"/>
              </w:rPr>
              <w:t>Tau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FE415E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1E7F21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0.680***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FFCF81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0.483***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C882BE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0.418***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4CAF07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0.452***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E390FD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0.548***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3DED8A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-0.523***</w:t>
            </w:r>
          </w:p>
        </w:tc>
      </w:tr>
      <w:tr w:rsidR="00060F41" w14:paraId="518D5374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1FDA63" w14:textId="77777777" w:rsidR="00060F41" w:rsidRDefault="00655B3B">
            <w:r>
              <w:rPr>
                <w:b/>
                <w:bCs/>
                <w:sz w:val="20"/>
                <w:szCs w:val="20"/>
              </w:rPr>
              <w:t>Aβ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09D6F1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87A044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1BF378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0.437***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582739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0.382***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E58D60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0.412***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6D6348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0.516***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869EF8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-0.468***</w:t>
            </w:r>
          </w:p>
        </w:tc>
      </w:tr>
      <w:tr w:rsidR="00060F41" w14:paraId="2F9AF83C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C76E4B" w14:textId="77777777" w:rsidR="00060F41" w:rsidRDefault="00655B3B">
            <w:r>
              <w:rPr>
                <w:b/>
                <w:bCs/>
                <w:sz w:val="20"/>
                <w:szCs w:val="20"/>
              </w:rPr>
              <w:t>MDA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DF1554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420871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4A911E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AE2356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0.543***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8E6266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0.610***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61B9D2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0.562***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22942B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-0.578***</w:t>
            </w:r>
          </w:p>
        </w:tc>
      </w:tr>
      <w:tr w:rsidR="00060F41" w14:paraId="2B37DBBB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31DBA1" w14:textId="77777777" w:rsidR="00060F41" w:rsidRDefault="00655B3B">
            <w:r>
              <w:rPr>
                <w:b/>
                <w:bCs/>
                <w:sz w:val="20"/>
                <w:szCs w:val="20"/>
              </w:rPr>
              <w:t>TNF-α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C3946A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219A0C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1F9BCC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A8A7FE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418EAB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0.571***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0B1654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0.428***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64770B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-0.392***</w:t>
            </w:r>
          </w:p>
        </w:tc>
      </w:tr>
      <w:tr w:rsidR="00060F41" w14:paraId="2AE143E0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F55CA5" w14:textId="77777777" w:rsidR="00060F41" w:rsidRDefault="00655B3B">
            <w:r>
              <w:rPr>
                <w:b/>
                <w:bCs/>
                <w:sz w:val="20"/>
                <w:szCs w:val="20"/>
              </w:rPr>
              <w:t>IL-6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EFD2E7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7A9ACB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914467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F9D10D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D5AAF3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0C1435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0.467***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6FE642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-0.441***</w:t>
            </w:r>
          </w:p>
        </w:tc>
      </w:tr>
      <w:tr w:rsidR="00060F41" w14:paraId="44AE6E9B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F5BBC6" w14:textId="77777777" w:rsidR="00060F41" w:rsidRDefault="00655B3B">
            <w:r>
              <w:rPr>
                <w:b/>
                <w:bCs/>
                <w:sz w:val="20"/>
                <w:szCs w:val="20"/>
              </w:rPr>
              <w:t>VILIP-1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154C6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8E1277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670D3C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873A4DF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88AC0C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3D0234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8A676B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-0.512***</w:t>
            </w:r>
          </w:p>
        </w:tc>
      </w:tr>
      <w:tr w:rsidR="00060F41" w14:paraId="589EDB31" w14:textId="77777777"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D5F803" w14:textId="77777777" w:rsidR="00060F41" w:rsidRDefault="00655B3B">
            <w:r>
              <w:rPr>
                <w:b/>
                <w:bCs/>
                <w:sz w:val="20"/>
                <w:szCs w:val="20"/>
              </w:rPr>
              <w:t>MiR-34c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9884C7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2A792C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774D46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DC4A6D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2002D3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194093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CF4536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1.000</w:t>
            </w:r>
          </w:p>
        </w:tc>
      </w:tr>
    </w:tbl>
    <w:p w14:paraId="614BD7F1" w14:textId="77777777" w:rsidR="00060F41" w:rsidRDefault="00655B3B">
      <w:pPr>
        <w:spacing w:before="80" w:after="240"/>
      </w:pPr>
      <w:r>
        <w:rPr>
          <w:sz w:val="18"/>
          <w:szCs w:val="18"/>
        </w:rPr>
        <w:t xml:space="preserve">Aβ, β-amyloid; MDA, malondialdehyde; TNF-α, tumor necrosis factor-α; IL-6, interleukin-6; VILIP-1, </w:t>
      </w:r>
      <w:proofErr w:type="spellStart"/>
      <w:r>
        <w:rPr>
          <w:sz w:val="18"/>
          <w:szCs w:val="18"/>
        </w:rPr>
        <w:t>visinin</w:t>
      </w:r>
      <w:proofErr w:type="spellEnd"/>
      <w:r>
        <w:rPr>
          <w:sz w:val="18"/>
          <w:szCs w:val="18"/>
        </w:rPr>
        <w:t>-like protein 1; MiR-34c, microRNA-34c. Lower triangle shows — (mirror values omitted for clarity). ***p &lt; 0.001. Correlations were computed across th</w:t>
      </w:r>
      <w:r>
        <w:rPr>
          <w:sz w:val="18"/>
          <w:szCs w:val="18"/>
        </w:rPr>
        <w:t>e full sample (N = 86).</w:t>
      </w:r>
    </w:p>
    <w:p w14:paraId="35A81D08" w14:textId="7AD6913E" w:rsidR="00060F41" w:rsidRDefault="00655B3B">
      <w:pPr>
        <w:spacing w:before="360" w:after="120"/>
      </w:pPr>
      <w:r>
        <w:rPr>
          <w:b/>
          <w:bCs/>
          <w:sz w:val="22"/>
          <w:szCs w:val="22"/>
        </w:rPr>
        <w:t xml:space="preserve">Supplementary Table </w:t>
      </w:r>
      <w:bookmarkStart w:id="0" w:name="_GoBack"/>
      <w:bookmarkEnd w:id="0"/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>Variance inflation factors (VIF) for variables included in the multivariate logistic regression model.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60F41" w14:paraId="5D943458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E85A4" w14:textId="77777777" w:rsidR="00060F41" w:rsidRDefault="00655B3B">
            <w:r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098DDD" w14:textId="77777777" w:rsidR="00060F41" w:rsidRDefault="00655B3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VIF</w:t>
            </w:r>
          </w:p>
        </w:tc>
      </w:tr>
      <w:tr w:rsidR="00060F41" w14:paraId="7BA4A9F1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A904BD" w14:textId="77777777" w:rsidR="00060F41" w:rsidRDefault="00655B3B">
            <w:r>
              <w:rPr>
                <w:sz w:val="20"/>
                <w:szCs w:val="20"/>
              </w:rPr>
              <w:t>Tau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27884D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3.82</w:t>
            </w:r>
          </w:p>
        </w:tc>
      </w:tr>
      <w:tr w:rsidR="00060F41" w14:paraId="6957DAD4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1876B0" w14:textId="77777777" w:rsidR="00060F41" w:rsidRDefault="00655B3B">
            <w:r>
              <w:rPr>
                <w:sz w:val="20"/>
                <w:szCs w:val="20"/>
              </w:rPr>
              <w:t>Aβ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8E2CC3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2.94</w:t>
            </w:r>
          </w:p>
        </w:tc>
      </w:tr>
      <w:tr w:rsidR="00060F41" w14:paraId="093674E7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72D460" w14:textId="77777777" w:rsidR="00060F41" w:rsidRDefault="00655B3B">
            <w:r>
              <w:rPr>
                <w:sz w:val="20"/>
                <w:szCs w:val="20"/>
              </w:rPr>
              <w:t>MDA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4A589E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4.15</w:t>
            </w:r>
          </w:p>
        </w:tc>
      </w:tr>
      <w:tr w:rsidR="00060F41" w14:paraId="0BC923D0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2F6AAF" w14:textId="77777777" w:rsidR="00060F41" w:rsidRDefault="00655B3B">
            <w:r>
              <w:rPr>
                <w:sz w:val="20"/>
                <w:szCs w:val="20"/>
              </w:rPr>
              <w:t>TNF-α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1C67DB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2.67</w:t>
            </w:r>
          </w:p>
        </w:tc>
      </w:tr>
      <w:tr w:rsidR="00060F41" w14:paraId="139543AC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6FA1BA" w14:textId="77777777" w:rsidR="00060F41" w:rsidRDefault="00655B3B">
            <w:r>
              <w:rPr>
                <w:sz w:val="20"/>
                <w:szCs w:val="20"/>
              </w:rPr>
              <w:t>IL-6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9C3B21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3.41</w:t>
            </w:r>
          </w:p>
        </w:tc>
      </w:tr>
      <w:tr w:rsidR="00060F41" w14:paraId="3FF5F9AB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051D96D" w14:textId="77777777" w:rsidR="00060F41" w:rsidRDefault="00655B3B">
            <w:r>
              <w:rPr>
                <w:sz w:val="20"/>
                <w:szCs w:val="20"/>
              </w:rPr>
              <w:t>VILIP-1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0F106D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2.89</w:t>
            </w:r>
          </w:p>
        </w:tc>
      </w:tr>
      <w:tr w:rsidR="00060F41" w14:paraId="10E6992E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77E751" w14:textId="77777777" w:rsidR="00060F41" w:rsidRDefault="00655B3B">
            <w:r>
              <w:rPr>
                <w:sz w:val="20"/>
                <w:szCs w:val="20"/>
              </w:rPr>
              <w:t>MiR-34c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F1F23B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2.53</w:t>
            </w:r>
          </w:p>
        </w:tc>
      </w:tr>
      <w:tr w:rsidR="00060F41" w14:paraId="3A562E5E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8F21B8" w14:textId="77777777" w:rsidR="00060F41" w:rsidRDefault="00655B3B">
            <w:r>
              <w:rPr>
                <w:sz w:val="20"/>
                <w:szCs w:val="20"/>
              </w:rPr>
              <w:t xml:space="preserve">Age (≥70 </w:t>
            </w:r>
            <w:r>
              <w:rPr>
                <w:sz w:val="20"/>
                <w:szCs w:val="20"/>
              </w:rPr>
              <w:t>years)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0D8FE6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1.48</w:t>
            </w:r>
          </w:p>
        </w:tc>
      </w:tr>
      <w:tr w:rsidR="00060F41" w14:paraId="3458D642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3D8E64" w14:textId="77777777" w:rsidR="00060F41" w:rsidRDefault="00655B3B">
            <w:r>
              <w:rPr>
                <w:sz w:val="20"/>
                <w:szCs w:val="20"/>
              </w:rPr>
              <w:t>Education (≤9 years)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8C4C53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1.23</w:t>
            </w:r>
          </w:p>
        </w:tc>
      </w:tr>
      <w:tr w:rsidR="00060F41" w14:paraId="13585EFC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206E1A" w14:textId="77777777" w:rsidR="00060F41" w:rsidRDefault="00655B3B">
            <w:r>
              <w:rPr>
                <w:sz w:val="20"/>
                <w:szCs w:val="20"/>
              </w:rPr>
              <w:t>Smoking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A2CCA44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1.35</w:t>
            </w:r>
          </w:p>
        </w:tc>
      </w:tr>
      <w:tr w:rsidR="00060F41" w14:paraId="71503D9D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409994" w14:textId="77777777" w:rsidR="00060F41" w:rsidRDefault="00655B3B">
            <w:r>
              <w:rPr>
                <w:sz w:val="20"/>
                <w:szCs w:val="20"/>
              </w:rPr>
              <w:t>Hypertension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5086CE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1.67</w:t>
            </w:r>
          </w:p>
        </w:tc>
      </w:tr>
      <w:tr w:rsidR="00060F41" w14:paraId="0A37759C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589364" w14:textId="77777777" w:rsidR="00060F41" w:rsidRDefault="00655B3B">
            <w:r>
              <w:rPr>
                <w:sz w:val="20"/>
                <w:szCs w:val="20"/>
              </w:rPr>
              <w:t>Diabetes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1B37C6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1.54</w:t>
            </w:r>
          </w:p>
        </w:tc>
      </w:tr>
      <w:tr w:rsidR="00060F41" w14:paraId="58D0F93C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A78A83" w14:textId="77777777" w:rsidR="00060F41" w:rsidRDefault="00655B3B">
            <w:r>
              <w:rPr>
                <w:sz w:val="20"/>
                <w:szCs w:val="20"/>
              </w:rPr>
              <w:t>Coronary heart disease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7976D8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1.42</w:t>
            </w:r>
          </w:p>
        </w:tc>
      </w:tr>
      <w:tr w:rsidR="00060F41" w14:paraId="0323D479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F6588C" w14:textId="77777777" w:rsidR="00060F41" w:rsidRDefault="00655B3B">
            <w:r>
              <w:rPr>
                <w:sz w:val="20"/>
                <w:szCs w:val="20"/>
              </w:rPr>
              <w:t>Ischemic stroke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AFE652" w14:textId="77777777" w:rsidR="00060F41" w:rsidRDefault="00655B3B">
            <w:pPr>
              <w:jc w:val="center"/>
            </w:pPr>
            <w:r>
              <w:rPr>
                <w:sz w:val="20"/>
                <w:szCs w:val="20"/>
              </w:rPr>
              <w:t>1.28</w:t>
            </w:r>
          </w:p>
        </w:tc>
      </w:tr>
    </w:tbl>
    <w:p w14:paraId="109AE307" w14:textId="77777777" w:rsidR="00060F41" w:rsidRDefault="00655B3B">
      <w:pPr>
        <w:spacing w:before="80" w:after="240"/>
      </w:pPr>
      <w:r>
        <w:rPr>
          <w:sz w:val="18"/>
          <w:szCs w:val="18"/>
        </w:rPr>
        <w:t xml:space="preserve">VIF values &lt; 5 indicate acceptable multicollinearity. All variables demonstrated VIF values within the acceptable </w:t>
      </w:r>
      <w:r>
        <w:rPr>
          <w:sz w:val="18"/>
          <w:szCs w:val="18"/>
        </w:rPr>
        <w:t>range (1.23–4.15), consistent with the reported range of 1.2–4.8 in the main text. Moderate intercorrelation was observed between Tau and Aβ (r = 0.68) and between MDA and IL-6 (r = 0.61), as detailed in Supplementary Table S1.</w:t>
      </w:r>
    </w:p>
    <w:sectPr w:rsidR="00060F41" w:rsidSect="006D7A22">
      <w:headerReference w:type="default" r:id="rId7"/>
      <w:pgSz w:w="12240" w:h="158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476FB" w14:textId="77777777" w:rsidR="00655B3B" w:rsidRDefault="00655B3B">
      <w:r>
        <w:separator/>
      </w:r>
    </w:p>
  </w:endnote>
  <w:endnote w:type="continuationSeparator" w:id="0">
    <w:p w14:paraId="4323E798" w14:textId="77777777" w:rsidR="00655B3B" w:rsidRDefault="0065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738B" w14:textId="77777777" w:rsidR="00655B3B" w:rsidRDefault="00655B3B">
      <w:r>
        <w:separator/>
      </w:r>
    </w:p>
  </w:footnote>
  <w:footnote w:type="continuationSeparator" w:id="0">
    <w:p w14:paraId="4DE632B2" w14:textId="77777777" w:rsidR="00655B3B" w:rsidRDefault="0065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6EB15" w14:textId="77777777" w:rsidR="00060F41" w:rsidRDefault="00655B3B">
    <w:pPr>
      <w:jc w:val="right"/>
    </w:pPr>
    <w:r>
      <w:rPr>
        <w:i/>
        <w:iCs/>
        <w:sz w:val="18"/>
        <w:szCs w:val="18"/>
      </w:rPr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7F3"/>
    <w:multiLevelType w:val="hybridMultilevel"/>
    <w:tmpl w:val="57E0BA3C"/>
    <w:lvl w:ilvl="0" w:tplc="42B68F20">
      <w:start w:val="1"/>
      <w:numFmt w:val="bullet"/>
      <w:lvlText w:val="●"/>
      <w:lvlJc w:val="left"/>
      <w:pPr>
        <w:ind w:left="720" w:hanging="360"/>
      </w:pPr>
    </w:lvl>
    <w:lvl w:ilvl="1" w:tplc="588ED70A">
      <w:start w:val="1"/>
      <w:numFmt w:val="bullet"/>
      <w:lvlText w:val="○"/>
      <w:lvlJc w:val="left"/>
      <w:pPr>
        <w:ind w:left="1440" w:hanging="360"/>
      </w:pPr>
    </w:lvl>
    <w:lvl w:ilvl="2" w:tplc="29506DE6">
      <w:start w:val="1"/>
      <w:numFmt w:val="bullet"/>
      <w:lvlText w:val="■"/>
      <w:lvlJc w:val="left"/>
      <w:pPr>
        <w:ind w:left="2160" w:hanging="360"/>
      </w:pPr>
    </w:lvl>
    <w:lvl w:ilvl="3" w:tplc="74A69ABA">
      <w:start w:val="1"/>
      <w:numFmt w:val="bullet"/>
      <w:lvlText w:val="●"/>
      <w:lvlJc w:val="left"/>
      <w:pPr>
        <w:ind w:left="2880" w:hanging="360"/>
      </w:pPr>
    </w:lvl>
    <w:lvl w:ilvl="4" w:tplc="4BB01160">
      <w:start w:val="1"/>
      <w:numFmt w:val="bullet"/>
      <w:lvlText w:val="○"/>
      <w:lvlJc w:val="left"/>
      <w:pPr>
        <w:ind w:left="3600" w:hanging="360"/>
      </w:pPr>
    </w:lvl>
    <w:lvl w:ilvl="5" w:tplc="085C0E78">
      <w:start w:val="1"/>
      <w:numFmt w:val="bullet"/>
      <w:lvlText w:val="■"/>
      <w:lvlJc w:val="left"/>
      <w:pPr>
        <w:ind w:left="4320" w:hanging="360"/>
      </w:pPr>
    </w:lvl>
    <w:lvl w:ilvl="6" w:tplc="87542B98">
      <w:start w:val="1"/>
      <w:numFmt w:val="bullet"/>
      <w:lvlText w:val="●"/>
      <w:lvlJc w:val="left"/>
      <w:pPr>
        <w:ind w:left="5040" w:hanging="360"/>
      </w:pPr>
    </w:lvl>
    <w:lvl w:ilvl="7" w:tplc="F1FE56B4">
      <w:start w:val="1"/>
      <w:numFmt w:val="bullet"/>
      <w:lvlText w:val="●"/>
      <w:lvlJc w:val="left"/>
      <w:pPr>
        <w:ind w:left="5760" w:hanging="360"/>
      </w:pPr>
    </w:lvl>
    <w:lvl w:ilvl="8" w:tplc="A87AC42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41"/>
    <w:rsid w:val="00060F41"/>
    <w:rsid w:val="001F2260"/>
    <w:rsid w:val="0020086C"/>
    <w:rsid w:val="00655B3B"/>
    <w:rsid w:val="006D7A22"/>
    <w:rsid w:val="00F3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CA27C"/>
  <w15:docId w15:val="{60E05397-2167-4097-9824-21FDB1F0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00" w:after="100"/>
      <w:outlineLvl w:val="1"/>
    </w:pPr>
    <w:rPr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0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0086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008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00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Yuki</cp:lastModifiedBy>
  <cp:revision>3</cp:revision>
  <dcterms:created xsi:type="dcterms:W3CDTF">2026-03-19T03:05:00Z</dcterms:created>
  <dcterms:modified xsi:type="dcterms:W3CDTF">2026-03-23T02:59:00Z</dcterms:modified>
</cp:coreProperties>
</file>